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22 176 vom 22. Mai 2023</w:t>
      </w:r>
    </w:p>
    <w:p>
      <w:r>
        <w:t>VS Kantonsgericht, 2023-05-22, DE</w:t>
      </w:r>
    </w:p>
    <w:p>
      <w:r>
        <w:rPr>
          <w:b/>
        </w:rPr>
        <w:t xml:space="preserve">Quelle: </w:t>
      </w:r>
      <w:r>
        <w:t>https://mcp.opencaselaw.ch/entscheid/vs_gerichte_S1 22 176</w:t>
      </w:r>
    </w:p>
    <w:p>
      <w:r>
        <w:t>FR: VS_GERICHTE S1 22 176 du 22 mai 2023</w:t>
      </w:r>
    </w:p>
    <w:p>
      <w:r>
        <w:t>IT: VS_GERICHTE S1 22 176 del 22 maggio 2023</w:t>
      </w:r>
    </w:p>
    <w:p>
      <w:pPr>
        <w:pStyle w:val="Heading2"/>
      </w:pPr>
      <w:r>
        <w:t>Regeste</w:t>
      </w:r>
    </w:p>
    <w:p>
      <w:r>
        <w:t>S1 22 176 URTEIL VOM 22. MAI 2023 Kantonsgericht Wallis Sozialversicherungsrechtliche Abteilung Besetzung: Dr. Thierry Schnyder, Präsident; Candido Prada und Thomas Brunner, Kantonsrichter; Renata Kreuzer, Gerichtsschreiberin in Sachen X _________, Beschwerdeführerin gegen KANTONALE IV-STELLE, 1950 Sitten, Beschwerdegegnerin (Restarbeitsfähigkeit / Status) Beschwerde gegen die Verfügung vom 26. September 2022</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t>- 7 -</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die Ansprüche nach den neuen Gesetzes- und Verordnungsbestimmungen zu prü- 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die Frage, ob die Invalidenversicherung nach umfassender Abklärung der Restarbeitsfähigkeit den Invaliditätsgrad korrekt ermittelt hat.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t>- 8 -</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der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w:t>
      </w:r>
    </w:p>
    <w:p>
      <w:r>
        <w:rPr>
          <w:b/>
        </w:rPr>
        <w:t>E. 4.1</w:t>
      </w:r>
    </w:p>
    <w:p>
      <w:r>
        <w:t>Die IV-Stelle stützte sich für die Beurteilung der Arbeitsfähigkeit auf die Berichte ihrer RAD-Ärzte. Diese erstatteten ihre Stellungnahmen gestützt auf das monodiszipli- näre psychiatrische Gutachten und in Kenntnis der sich im IV-Dossier befindenden Be- richte der behandelnden Ärzte und Psychologen. Das Gutachten vom 9. Juli 2022 erging unter Berücksichtigung der von der IV-Stelle zur Verfügung gestellten Arzt- und Berufs- beratungsberichte, der spontanen Angaben der Beschwerdeführerin in einem offenen Interview, einer ausführlichen Anamnese, der psychopathologischen Untersuchungsbe- funde, der Laborergebnisse und einer funktionellen Leistungsprüfung. Es zeigt die ge- sundheitlichen Einschränkungen und auch die Ressourcen der Beschwerdeführerin in nachvollziehbarer Weise auf. Der beurteilende Facharzt kam zum Schluss, in der ange- stammten Tätigkeit bestehe eine 60%ige Arbeitsfähigkeit, in einer angepassten Arbeit</w:t>
      </w:r>
    </w:p>
    <w:p>
      <w:r>
        <w:t>- 9 - eine 70%ige. Der Beginn dieser Arbeitsfähigkeiten wurde auf den Zeitpunkt der IV-An- meldung am 22. Juni 2021 gesetzt. Die RAD-Ärzte und damit die IV-Stelle haben zu Recht auf das Gutachten vom 9. Juli 2022 abgestellt.</w:t>
      </w:r>
    </w:p>
    <w:p>
      <w:r>
        <w:rPr>
          <w:b/>
        </w:rPr>
        <w:t>E. 4.2</w:t>
      </w:r>
    </w:p>
    <w:p>
      <w:r>
        <w:t>Die Beschwerdeführerin bemängelt im Wesentlichen die Beurteilung ihrer Restar- beitsfähigkeit. Ihre Belastbarkeit sei stark eingeschränkt. Sie benötige psychiatrische Be- treuung und Medikation, um der beruflichen Situation überhaupt gerecht werden zu kön- nen. Dabei bezieht sie sich auf ihre aktuelle berufliche Tätigkeit, die sie am 20. Juni 2022 aufnahm. Gemäss Arbeitsvertrag (a.a.O. S. 471f.) handelt es sich dabei um eine 100%- Anstellung als Kauffrau in einer Metallbaufirma. In diesem Metier hat die Beschwerde- führerin bis anhin nie gearbeitet, es entspricht weder ihrer Ausbildung, noch dem für sie erstellten Profil einer angepassten Tätigkeit. Sie hält dazu in der Beschwerde fest, auf- grund der vom RAV vorgeschriebenen Anzahl Bewerbungen habe sie sich nicht auf Tä- tigkeiten beschränken können, die ihrem Wunsch entsprochen hätten. Dass die Beschwerdeführerin mit einer 100%-Anstellung in einem für sie neuen Arbeitsgebiet überfordert ist, vermag nicht zu verwundern. Gemäss dem psychiatrischen Gutachten ist erst mittel- bis langfristig davon auszugehen, dass sich die Arbeitsfähigkeit unter einer konsequenten Alkoholabstinenz und spezifischer suchttherapeutischer Behandlung im Hinblick auf ein störungsadaptiertes Setting auf ein Vollpensum (100%) steigern lässt (a.a.O. S. 454). In casu wurden die Therapien am PZO im Mai 2022 beendet. Ob sie wiederaufgenommen wurden, nachdem die Beschwerdeführerin sich am 8. Oktober 2022 bei ihrem Hausarzt gemeldet hatte, um psychiatrische Betreuung und entspre- chende Medikation zu erhalten, ist dem Gericht nicht bekannt. Bezüglich Zeitpunkt des Beginns der Arbeitsfähigkeit weist die Beschwerdeführerin auf Divergenz zwischen dem Gutachten und den Arbeitsunfähigkeitszeugnissen des PZO hin. Vom PZO wurde bis Ende Februar 2022 eine 100%ige Arbeitsunfähigkeit beschei- nigt. Die Arbeitsunfähigkeitszeugnisse des PZO bezogen sich auf die Arbeit an der Hochschule. Dorthin wollte die Beschwerdeführerin explizit nicht mehr zurückkehren, da sie dort gemobbt worden sei. Die Beurteilung im Gutachten hingegen, wonach seit dem 22. Juni 2021 eine 60%ige Arbeitsfähigkeit im angestammten Beruf bestand, bezog sich nicht auf die Anstellung bei der Hochschule, sondern auf eine medizinisch theoretische Arbeitstätigkeit im erlernten Beruf.</w:t>
      </w:r>
    </w:p>
    <w:p>
      <w:r>
        <w:rPr>
          <w:b/>
        </w:rPr>
        <w:t>E. 4.3</w:t>
      </w:r>
    </w:p>
    <w:p>
      <w:r>
        <w:t>Bei Durchsicht der Akten fällt auf, dass die Beschwerdeführerin gleichbleibend und übereinstimmend angab, sie habe die Arbeit an der Hochschule aufgrund ihres Gesund- heitszustandes seit dem 1. Januar 2021 von 100% auf 80% reduziert (a.a.O. S. 302, 304, 349, 436). Für das erkennende Gericht ist es damit nicht nachvollziehbar, aus</w:t>
      </w:r>
    </w:p>
    <w:p>
      <w:r>
        <w:t>- 10 - welchen Gründen die IV-Stelle davon ausgeht, sie wäre im Gesundheitsfall zu 80% er- werbstätig und zu 20% Hausfrau. Es ist vielmehr davon auszugehen, dass die Beschwerdeführerin im Gesundheitsfall voll erwerbstätig wäre. Wenn die IV-Stelle für die Invaliditätsbemessung von einer 60%igen Arbeitsfähigkeit in der angestammten Tätig- keit ausgeht – was grundsätzlich möglich und nicht zu beanstanden ist – ergibt sich damit ein Invaliditätsgrad von 40% und der Anspruch auf eine Rente in der Höhe von 25% einer 100% Rente (Art. 28b IVG). Die IV-Anmeldung erfolgte am 22. Juni 2021, die Ar- beitsunfähigkeit von mindestens 40% begann im Januar 2021. Somit entstand der An- spruch auf eine 25%ige Invalidenrente im Januar 2022 (Art. 28 i.V.m. 29 IVG). Am 20. Juni 2022 nahm die Beschwerdeführerin eine Arbeitsstelle zu 100% – mit tieferem Lohn zwar als in ihrem erlernten Beruf – an. Eine Veränderung in der Einkommenssituation ist zu berücksichtigen, nachdem sie ohne wesentliche Unterbrechung drei Monate gedauert hat und voraussichtlich weiterhin andauern wird (Art. 88a IVV). Der Anspruch auf die 25%ige Rente endet somit am 30. September 2022. Für die Zeit danach wird die IV- Stelle den Rentenanspruch der Beschwerdeführerin neu zu beurteilen haben. Falls dies notwendig sein sollte, besteht ein Anspruch auf Eingliederungsmassnahmen, indem die IV-Stelle die Beschwerdeführerin bei der Suche nach einer geeigneten Arbeit zu unter- stützen haben wird.</w:t>
      </w:r>
    </w:p>
    <w:p>
      <w:r>
        <w:rPr>
          <w:b/>
        </w:rPr>
        <w:t>E. 5</w:t>
      </w:r>
    </w:p>
    <w:p>
      <w:r>
        <w:t>Nach dem Gesagten ist die Beschwerde im Sinne der Erwägungen gutzuheissen. Es besteht ein Rentenanspruch in der Höhe von 25% einer 100%igen Invalidenrente für die Zeit vom 1. Januar 2022 bis zum 30. September 2022. Im Weiteren ist die Sache an die IV-Stelle zurückzuweisen, damit sie den Rentenanspruch ab dem 1. Oktober 2022 neu beurteilen und gegebenenfalls Eingliederungsmassnahmen gewähren kann.</w:t>
      </w:r>
    </w:p>
    <w:p>
      <w:r>
        <w:rPr>
          <w:b/>
        </w:rPr>
        <w:t>E. 6.1</w:t>
      </w:r>
    </w:p>
    <w:p>
      <w:r>
        <w:t>Das Beschwerdeverfahren bei Streitigkeiten um die Bewilligung oder die Verweige- rung von IV-Leistungen vor dem Kantonsgericht ist kostenpflichtig (Art. Art. 69 Abs. 1bis IVG). Aufgrund des Verfahrensaufwands (reiner Urkundenprozess) werden die Gerichtskosten in casu auf CHF 500 festgesetzt. Auslagen sind dem Gericht keine ent- standen. Entsprechend dem Ausgang des Verfahrens werden die Kosten der IV-Stelle auferlegt. Der Beschwerdeführerin wird der geleistete Kostenvorschuss zurückerstattet.</w:t>
      </w:r>
    </w:p>
    <w:p>
      <w:r>
        <w:rPr>
          <w:b/>
        </w:rPr>
        <w:t>E. 6.2</w:t>
      </w:r>
    </w:p>
    <w:p>
      <w:r>
        <w:t>Der nicht anwaltlich vertretenen Beschwerdeführerin dürften keine hohen Auslagen entstanden sein, weshalb ihr keine Parteientschädigung zuzusprechen ist (Art. 61 lit. g ATSG, Art. 4 GTar).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